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94D" w:rsidRPr="0054794D" w:rsidRDefault="0054794D" w:rsidP="0054794D">
      <w:pPr>
        <w:widowControl/>
        <w:spacing w:before="100" w:beforeAutospacing="1" w:after="100" w:afterAutospacing="1"/>
        <w:jc w:val="center"/>
        <w:outlineLvl w:val="2"/>
        <w:rPr>
          <w:rFonts w:ascii="微软雅黑" w:eastAsia="微软雅黑" w:hAnsi="微软雅黑" w:cs="宋体"/>
          <w:color w:val="333333"/>
          <w:kern w:val="0"/>
          <w:sz w:val="28"/>
          <w:szCs w:val="28"/>
        </w:rPr>
      </w:pPr>
      <w:r w:rsidRPr="0054794D">
        <w:rPr>
          <w:rFonts w:ascii="微软雅黑" w:eastAsia="微软雅黑" w:hAnsi="微软雅黑" w:cs="宋体" w:hint="eastAsia"/>
          <w:color w:val="333333"/>
          <w:kern w:val="0"/>
          <w:sz w:val="28"/>
          <w:szCs w:val="28"/>
        </w:rPr>
        <w:t>关于做好2016年专业技术职务评聘工作的通知</w:t>
      </w:r>
    </w:p>
    <w:p w:rsidR="0054794D" w:rsidRPr="0054794D" w:rsidRDefault="0054794D" w:rsidP="0054794D">
      <w:pPr>
        <w:widowControl/>
        <w:spacing w:before="100" w:beforeAutospacing="1" w:after="100" w:afterAutospacing="1" w:line="360" w:lineRule="auto"/>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333333"/>
          <w:kern w:val="0"/>
          <w:sz w:val="25"/>
          <w:szCs w:val="25"/>
        </w:rPr>
        <w:t>各学院、各单位：</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333333"/>
          <w:kern w:val="0"/>
          <w:sz w:val="25"/>
          <w:szCs w:val="25"/>
        </w:rPr>
        <w:t>为做好2016年我校专业技术职务评聘工作，现将有关事项通知如下：</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黑体" w:eastAsia="黑体" w:hAnsi="黑体" w:cs="宋体" w:hint="eastAsia"/>
          <w:color w:val="000000"/>
          <w:kern w:val="0"/>
          <w:sz w:val="25"/>
          <w:szCs w:val="25"/>
        </w:rPr>
        <w:t>一、指导思想</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000000"/>
          <w:kern w:val="0"/>
          <w:sz w:val="25"/>
          <w:szCs w:val="25"/>
        </w:rPr>
        <w:t>围绕建设世界一流农业大学发展目标，根据教学科研、学科建设及管理工作需要，加快高水平师资队伍建设，努力建成素质优良、结构优化、精干高效的教学科研、管理及其他专业技术队伍。</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黑体" w:eastAsia="黑体" w:hAnsi="黑体" w:cs="宋体" w:hint="eastAsia"/>
          <w:color w:val="000000"/>
          <w:kern w:val="0"/>
          <w:sz w:val="25"/>
          <w:szCs w:val="25"/>
        </w:rPr>
        <w:t>二、工作要求</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000000"/>
          <w:kern w:val="0"/>
          <w:sz w:val="25"/>
          <w:szCs w:val="25"/>
        </w:rPr>
        <w:t>坚持公正、公平、公开、择优的评聘工作原则，对申报人员的职业道德、学术水平、研究成果、社会服务等进行综合评价，严格评聘标准，规范评审程序，提高评聘质量。</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b/>
          <w:bCs/>
          <w:color w:val="333333"/>
          <w:kern w:val="0"/>
          <w:sz w:val="25"/>
        </w:rPr>
        <w:t>（一）严格评聘标准</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333333"/>
          <w:kern w:val="0"/>
          <w:sz w:val="25"/>
          <w:szCs w:val="25"/>
        </w:rPr>
        <w:t>1、</w:t>
      </w:r>
      <w:r w:rsidRPr="0054794D">
        <w:rPr>
          <w:rFonts w:ascii="仿宋_GB2312" w:eastAsia="仿宋_GB2312" w:hAnsi="微软雅黑" w:cs="宋体" w:hint="eastAsia"/>
          <w:color w:val="000000"/>
          <w:kern w:val="0"/>
          <w:sz w:val="25"/>
          <w:szCs w:val="25"/>
        </w:rPr>
        <w:t>自然科学类教授、经济与管理类教授、基础与人文类教授、教育管理研究员、推广研究员、教授级高级实验师、自然科学类副教授、经济与管理类副教授、基础与人文类副教授、教育管理副研究员、高级实验师</w:t>
      </w:r>
      <w:r w:rsidRPr="0054794D">
        <w:rPr>
          <w:rFonts w:ascii="仿宋_GB2312" w:eastAsia="仿宋_GB2312" w:hAnsi="微软雅黑" w:cs="宋体" w:hint="eastAsia"/>
          <w:color w:val="333333"/>
          <w:kern w:val="0"/>
          <w:sz w:val="25"/>
          <w:szCs w:val="25"/>
        </w:rPr>
        <w:t>的申报条件执行《南京农业大学教授级专业技术职务申报条件》（校学术委员会六届三次全会公报，2013年第2号）和《南京农业大学副教授级专业技术职务申报条件》（校学术委员会公报，2014年第1号）；破格评聘执行《南京农业</w:t>
      </w:r>
      <w:r w:rsidRPr="0054794D">
        <w:rPr>
          <w:rFonts w:ascii="仿宋_GB2312" w:eastAsia="仿宋_GB2312" w:hAnsi="微软雅黑" w:cs="宋体" w:hint="eastAsia"/>
          <w:color w:val="333333"/>
          <w:kern w:val="0"/>
          <w:sz w:val="25"/>
          <w:szCs w:val="25"/>
        </w:rPr>
        <w:lastRenderedPageBreak/>
        <w:t>大学教师破格评聘高级专业技术职务暂行规定》（校人发〔2010〕116号）；其他系列及中级职称评聘条件执行江苏省及学校原有相关规定。</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000000"/>
          <w:kern w:val="0"/>
          <w:sz w:val="25"/>
          <w:szCs w:val="25"/>
        </w:rPr>
        <w:t>2、在评聘教师系列高级职称时，突出考核申报人员在教学质量、高水平教学和科研成果方面的业绩，包括高影响因子或高引用频次研究论文、高水平著作以及国家、省（部）级教学科研奖励等。对符合任职条件，规定年限内在“南京农业大学相关学科高水平国际期刊目录”收录期刊上发表研究论文、主持国家级科研项目、教学质量综合评价优秀以及社会服务工作成绩突出的人员，各学科评议组应优先推荐其评聘高一级职称。</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333333"/>
          <w:kern w:val="0"/>
          <w:sz w:val="25"/>
          <w:szCs w:val="25"/>
        </w:rPr>
        <w:t>3、申报教授级专业技术职务且出生日期在1976年1月1日之后的，须具有在国（境）外留学、研修、访学、合作研究经历，其中，自然科学类教师要求累计12个月以上，人文社会科学类教师要求累计6个月以上(哲学、文学、艺术、体育类除外)。</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b/>
          <w:bCs/>
          <w:color w:val="000000"/>
          <w:kern w:val="0"/>
          <w:sz w:val="25"/>
        </w:rPr>
        <w:t>（二）规范评审程序</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000000"/>
          <w:kern w:val="0"/>
          <w:sz w:val="25"/>
          <w:szCs w:val="25"/>
        </w:rPr>
        <w:t>1、申报人业绩材料经各学院（单位）及相关职能部门审核后，须在本单位范围内公示5天，确保材料的真实性、可靠性。凡有弄虚作假或严重违反学术道德规范行为的，按照《南京农业大学学术规范条例（暂行）》规定予以处理，3年内不得申报高一级专业技术职务。</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000000"/>
          <w:kern w:val="0"/>
          <w:sz w:val="25"/>
          <w:szCs w:val="25"/>
        </w:rPr>
        <w:t>2、申报人应在所在学院（单位）范围内作述职报告，并进行民意测评。同意推荐票数超过规定参加人数1/2以上的人员（不含1/2），方可推荐到有关学科评议组。</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000000"/>
          <w:kern w:val="0"/>
          <w:sz w:val="25"/>
          <w:szCs w:val="25"/>
        </w:rPr>
        <w:lastRenderedPageBreak/>
        <w:t>3、各学科评议组对申报中级、副高级专业技术职务人员进行评审，并对</w:t>
      </w:r>
      <w:proofErr w:type="gramStart"/>
      <w:r w:rsidRPr="0054794D">
        <w:rPr>
          <w:rFonts w:ascii="仿宋_GB2312" w:eastAsia="仿宋_GB2312" w:hAnsi="微软雅黑" w:cs="宋体" w:hint="eastAsia"/>
          <w:color w:val="000000"/>
          <w:kern w:val="0"/>
          <w:sz w:val="25"/>
          <w:szCs w:val="25"/>
        </w:rPr>
        <w:t>申报正</w:t>
      </w:r>
      <w:proofErr w:type="gramEnd"/>
      <w:r w:rsidRPr="0054794D">
        <w:rPr>
          <w:rFonts w:ascii="仿宋_GB2312" w:eastAsia="仿宋_GB2312" w:hAnsi="微软雅黑" w:cs="宋体" w:hint="eastAsia"/>
          <w:color w:val="000000"/>
          <w:kern w:val="0"/>
          <w:sz w:val="25"/>
          <w:szCs w:val="25"/>
        </w:rPr>
        <w:t>高级专业技术职务人员进行推荐。申报副高级专业技术职务者须向学科评议组作述职答辩，学科评议组应在充分评议的基础上进行无记名投票，得票超过2/3（不含2/3）者方为通过。通过学科评议组评审或推荐人员的业绩须在全校范围内公示5天。</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000000"/>
          <w:kern w:val="0"/>
          <w:sz w:val="25"/>
          <w:szCs w:val="25"/>
        </w:rPr>
        <w:t>4、校职称评定和学术人员招聘委员会（以下简称：校职称评定委员会）负责全校专业技术职务评审工作，由常务委员会成员和委员（分年度聘任）组成，负责对</w:t>
      </w:r>
      <w:proofErr w:type="gramStart"/>
      <w:r w:rsidRPr="0054794D">
        <w:rPr>
          <w:rFonts w:ascii="仿宋_GB2312" w:eastAsia="仿宋_GB2312" w:hAnsi="微软雅黑" w:cs="宋体" w:hint="eastAsia"/>
          <w:color w:val="000000"/>
          <w:kern w:val="0"/>
          <w:sz w:val="25"/>
          <w:szCs w:val="25"/>
        </w:rPr>
        <w:t>申报正</w:t>
      </w:r>
      <w:proofErr w:type="gramEnd"/>
      <w:r w:rsidRPr="0054794D">
        <w:rPr>
          <w:rFonts w:ascii="仿宋_GB2312" w:eastAsia="仿宋_GB2312" w:hAnsi="微软雅黑" w:cs="宋体" w:hint="eastAsia"/>
          <w:color w:val="000000"/>
          <w:kern w:val="0"/>
          <w:sz w:val="25"/>
          <w:szCs w:val="25"/>
        </w:rPr>
        <w:t>高级专业技术职务的人员进行评审，并审定各学科评议组对副高和中级专业技术职务评审的结果。</w:t>
      </w:r>
      <w:proofErr w:type="gramStart"/>
      <w:r w:rsidRPr="0054794D">
        <w:rPr>
          <w:rFonts w:ascii="仿宋_GB2312" w:eastAsia="仿宋_GB2312" w:hAnsi="微软雅黑" w:cs="宋体" w:hint="eastAsia"/>
          <w:color w:val="000000"/>
          <w:kern w:val="0"/>
          <w:sz w:val="25"/>
          <w:szCs w:val="25"/>
        </w:rPr>
        <w:t>申报正</w:t>
      </w:r>
      <w:proofErr w:type="gramEnd"/>
      <w:r w:rsidRPr="0054794D">
        <w:rPr>
          <w:rFonts w:ascii="仿宋_GB2312" w:eastAsia="仿宋_GB2312" w:hAnsi="微软雅黑" w:cs="宋体" w:hint="eastAsia"/>
          <w:color w:val="000000"/>
          <w:kern w:val="0"/>
          <w:sz w:val="25"/>
          <w:szCs w:val="25"/>
        </w:rPr>
        <w:t>高级专业技术职务人员须向校职称评定委员会作述职答辩，委员会应在充分评议的基础上进行无记名投票，得票超过2/3（不含2/3）者方为通过。</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黑体" w:eastAsia="黑体" w:hAnsi="黑体" w:cs="宋体" w:hint="eastAsia"/>
          <w:color w:val="333333"/>
          <w:kern w:val="0"/>
          <w:sz w:val="25"/>
          <w:szCs w:val="25"/>
        </w:rPr>
        <w:t>三、具体规定</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333333"/>
          <w:kern w:val="0"/>
          <w:sz w:val="25"/>
          <w:szCs w:val="25"/>
        </w:rPr>
        <w:t>（一）关于同行专家鉴定结果</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333333"/>
          <w:kern w:val="0"/>
          <w:sz w:val="25"/>
          <w:szCs w:val="25"/>
        </w:rPr>
        <w:t>高级专业技术职务申报人员代表作分送不同高校或科研机构的专家进行鉴定（正高级5份，副高级3份），</w:t>
      </w:r>
      <w:proofErr w:type="gramStart"/>
      <w:r w:rsidRPr="0054794D">
        <w:rPr>
          <w:rFonts w:ascii="仿宋_GB2312" w:eastAsia="仿宋_GB2312" w:hAnsi="微软雅黑" w:cs="宋体" w:hint="eastAsia"/>
          <w:color w:val="333333"/>
          <w:kern w:val="0"/>
          <w:sz w:val="25"/>
          <w:szCs w:val="25"/>
        </w:rPr>
        <w:t>申报正</w:t>
      </w:r>
      <w:proofErr w:type="gramEnd"/>
      <w:r w:rsidRPr="0054794D">
        <w:rPr>
          <w:rFonts w:ascii="仿宋_GB2312" w:eastAsia="仿宋_GB2312" w:hAnsi="微软雅黑" w:cs="宋体" w:hint="eastAsia"/>
          <w:color w:val="333333"/>
          <w:kern w:val="0"/>
          <w:sz w:val="25"/>
          <w:szCs w:val="25"/>
        </w:rPr>
        <w:t>高级人员的鉴定结果中有3个及以上 “基本达到”或“已达到”者视为通过，申报副高级人员的鉴定结果中有2个及以上 “基本达到”或“已达到”者视为通过。鉴定结果仅当年有效。</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333333"/>
          <w:kern w:val="0"/>
          <w:sz w:val="25"/>
          <w:szCs w:val="25"/>
        </w:rPr>
        <w:t>（二）关于申报材料期限</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333333"/>
          <w:kern w:val="0"/>
          <w:sz w:val="25"/>
          <w:szCs w:val="25"/>
        </w:rPr>
        <w:lastRenderedPageBreak/>
        <w:t>申报人所提交的材料，包括已获得的学历学位证书、正式出版的著作、公开发表的论文、获得的奖励、承担的教学任务、获得的项目和资助、取得的科研成果等，有效期限为：自任现职之日起至2015年12月31日止。</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333333"/>
          <w:kern w:val="0"/>
          <w:sz w:val="25"/>
          <w:szCs w:val="25"/>
        </w:rPr>
        <w:t>英语、普通话、计算机成绩合格时间、岗前培训考试合格时间、高校教师资格证书取得时间均截止到2015年12月31日。</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333333"/>
          <w:kern w:val="0"/>
          <w:sz w:val="25"/>
          <w:szCs w:val="25"/>
        </w:rPr>
        <w:t>（三）关于相关资质要求</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333333"/>
          <w:kern w:val="0"/>
          <w:sz w:val="25"/>
          <w:szCs w:val="25"/>
        </w:rPr>
        <w:t>申报人必须具备相应的外语、计算机、岗前培训合格证书及高校教师资格证书等，一律不实行“先评后补”。</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333333"/>
          <w:kern w:val="0"/>
          <w:sz w:val="25"/>
          <w:szCs w:val="25"/>
        </w:rPr>
        <w:t>（四）关于工作时间要求</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333333"/>
          <w:kern w:val="0"/>
          <w:sz w:val="25"/>
          <w:szCs w:val="25"/>
        </w:rPr>
        <w:t>除引进的高层次人才外，其余新进人员须到我校工作满一年（截止时间到2015年12月31日）以上方可申请不同系列同级转聘或同系列申请晋升高一级职称。</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333333"/>
          <w:kern w:val="0"/>
          <w:sz w:val="25"/>
          <w:szCs w:val="25"/>
        </w:rPr>
        <w:t>（五）关于破格申报</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333333"/>
          <w:kern w:val="0"/>
          <w:sz w:val="25"/>
          <w:szCs w:val="25"/>
        </w:rPr>
        <w:t>对于教学科研业绩特别突出的教师，可根据规定申请破格评聘，申请破格人员通过资格审查后与正常晋升人员一并参加评审，不再单列指标。</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333333"/>
          <w:kern w:val="0"/>
          <w:sz w:val="25"/>
          <w:szCs w:val="25"/>
        </w:rPr>
        <w:t>（六）关于述职答辩办法</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333333"/>
          <w:kern w:val="0"/>
          <w:sz w:val="25"/>
          <w:szCs w:val="25"/>
        </w:rPr>
        <w:t>述职答辩时，申报人需用PPT介绍个人业绩5分钟，评委提问3分钟。申报人答辩顺序抽签确定。</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000000"/>
          <w:kern w:val="0"/>
          <w:sz w:val="25"/>
          <w:szCs w:val="25"/>
        </w:rPr>
        <w:lastRenderedPageBreak/>
        <w:t>（七）关于业绩特别规定</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333333"/>
          <w:kern w:val="0"/>
          <w:sz w:val="25"/>
          <w:szCs w:val="25"/>
        </w:rPr>
        <w:t>1、以下情况可以列入晋升专业技术职务的业绩：国家或学校公派、因私出国留学人员，在国外访问、合作科研期间，申报人为第一作者或通讯作者，但我校为非产权单位发表的论文；国内博士毕业或博士后出站人员，到校工作后以博士论文、博士后期间研究成果为内容发表的论文。</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333333"/>
          <w:kern w:val="0"/>
          <w:sz w:val="25"/>
          <w:szCs w:val="25"/>
        </w:rPr>
        <w:t>2、体育、艺术类教师指导学生活动获得全国重要奖项的，可以计为教学成果，具体操作细则以相关部门核定为准。</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333333"/>
          <w:kern w:val="0"/>
          <w:sz w:val="25"/>
          <w:szCs w:val="25"/>
        </w:rPr>
        <w:t>3、风景园林学科教师申请专业技术职务晋升的，可视其成果情况选择按自然科学类或社会科学类申报条件进行申报。</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黑体" w:eastAsia="黑体" w:hAnsi="黑体" w:cs="宋体" w:hint="eastAsia"/>
          <w:color w:val="000000"/>
          <w:kern w:val="0"/>
          <w:sz w:val="25"/>
          <w:szCs w:val="25"/>
        </w:rPr>
        <w:t>四、时间安排</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333333"/>
          <w:kern w:val="0"/>
          <w:sz w:val="25"/>
          <w:szCs w:val="25"/>
        </w:rPr>
        <w:t>（一）5月11日：召开各学院、各部门负责人会议，布置2016年度职称评聘工作。</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333333"/>
          <w:kern w:val="0"/>
          <w:sz w:val="25"/>
          <w:szCs w:val="25"/>
        </w:rPr>
        <w:t>个人申请、填写相关表格，并登录“南京农业大学职称申报系统”完善相关内容，准备申报材料。</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333333"/>
          <w:kern w:val="0"/>
          <w:sz w:val="25"/>
          <w:szCs w:val="25"/>
        </w:rPr>
        <w:t>（二）5月14日前：学院完成民意测评和推荐工作，申请人须在所在单位作述职报告。申请人的申报材料经教务处、研究生院、科研院等职能部门审核后在所在单位公示。</w:t>
      </w:r>
    </w:p>
    <w:p w:rsidR="0054794D" w:rsidRPr="0054794D" w:rsidRDefault="0054794D" w:rsidP="0054794D">
      <w:pPr>
        <w:widowControl/>
        <w:spacing w:before="100" w:beforeAutospacing="1" w:after="100" w:afterAutospacing="1" w:line="360" w:lineRule="auto"/>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333333"/>
          <w:kern w:val="0"/>
          <w:sz w:val="25"/>
          <w:szCs w:val="25"/>
        </w:rPr>
        <w:t>   </w:t>
      </w:r>
      <w:r w:rsidRPr="0054794D">
        <w:rPr>
          <w:rFonts w:ascii="仿宋_GB2312" w:eastAsia="仿宋_GB2312" w:hAnsi="微软雅黑" w:cs="宋体" w:hint="eastAsia"/>
          <w:color w:val="333333"/>
          <w:kern w:val="0"/>
          <w:sz w:val="25"/>
          <w:szCs w:val="25"/>
        </w:rPr>
        <w:t xml:space="preserve"> （三）5月24日前：各学科评议组评议工作完成，并将评议</w:t>
      </w:r>
      <w:proofErr w:type="gramStart"/>
      <w:r w:rsidRPr="0054794D">
        <w:rPr>
          <w:rFonts w:ascii="仿宋_GB2312" w:eastAsia="仿宋_GB2312" w:hAnsi="微软雅黑" w:cs="宋体" w:hint="eastAsia"/>
          <w:color w:val="333333"/>
          <w:kern w:val="0"/>
          <w:sz w:val="25"/>
          <w:szCs w:val="25"/>
        </w:rPr>
        <w:t>结果报校职改办</w:t>
      </w:r>
      <w:proofErr w:type="gramEnd"/>
      <w:r w:rsidRPr="0054794D">
        <w:rPr>
          <w:rFonts w:ascii="仿宋_GB2312" w:eastAsia="仿宋_GB2312" w:hAnsi="微软雅黑" w:cs="宋体" w:hint="eastAsia"/>
          <w:color w:val="333333"/>
          <w:kern w:val="0"/>
          <w:sz w:val="25"/>
          <w:szCs w:val="25"/>
        </w:rPr>
        <w:t>。通过学科评议组评议的人员业绩在全校范围内进行公示。</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333333"/>
          <w:kern w:val="0"/>
          <w:sz w:val="25"/>
          <w:szCs w:val="25"/>
        </w:rPr>
        <w:lastRenderedPageBreak/>
        <w:t>（四）5月30日：校职称评定委员会评审。</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333333"/>
          <w:kern w:val="0"/>
          <w:sz w:val="25"/>
          <w:szCs w:val="25"/>
        </w:rPr>
        <w:t>（五）公示评审结果。</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333333"/>
          <w:kern w:val="0"/>
          <w:sz w:val="25"/>
          <w:szCs w:val="25"/>
        </w:rPr>
        <w:t>（六）校职改领导小组审议并报校长办公会议审定，签订聘约，发文聘任。</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黑体" w:eastAsia="黑体" w:hAnsi="黑体" w:cs="宋体" w:hint="eastAsia"/>
          <w:color w:val="000000"/>
          <w:kern w:val="0"/>
          <w:sz w:val="25"/>
          <w:szCs w:val="25"/>
        </w:rPr>
        <w:t>五、其他注意事项</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333333"/>
          <w:kern w:val="0"/>
          <w:sz w:val="25"/>
          <w:szCs w:val="25"/>
        </w:rPr>
        <w:t>（一）各学科评议组要认真学习并执行学校职称评聘的相关规定，根据评聘条件严格在学校规定的指标范围内进行评审和推荐。</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333333"/>
          <w:kern w:val="0"/>
          <w:sz w:val="25"/>
          <w:szCs w:val="25"/>
        </w:rPr>
        <w:t>（二）各学院、各部门要加强领导，统一认识，精心组织，确保我校职称评聘工作的顺利开展。</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333333"/>
          <w:kern w:val="0"/>
          <w:sz w:val="25"/>
          <w:szCs w:val="25"/>
        </w:rPr>
        <w:t>（三）为加强职称评聘工作的过程管理，学校设立职称评聘监督组和秘书组，履行对职称评聘程序的监督和服务等职责。</w:t>
      </w:r>
    </w:p>
    <w:p w:rsidR="0054794D" w:rsidRPr="0054794D" w:rsidRDefault="0054794D" w:rsidP="0054794D">
      <w:pPr>
        <w:widowControl/>
        <w:spacing w:before="100" w:beforeAutospacing="1" w:after="100" w:afterAutospacing="1" w:line="360" w:lineRule="auto"/>
        <w:ind w:firstLine="516"/>
        <w:jc w:val="left"/>
        <w:rPr>
          <w:rFonts w:ascii="微软雅黑" w:eastAsia="微软雅黑" w:hAnsi="微软雅黑" w:cs="宋体" w:hint="eastAsia"/>
          <w:color w:val="333333"/>
          <w:kern w:val="0"/>
          <w:sz w:val="14"/>
          <w:szCs w:val="14"/>
        </w:rPr>
      </w:pPr>
      <w:r w:rsidRPr="0054794D">
        <w:rPr>
          <w:rFonts w:ascii="微软雅黑" w:eastAsia="微软雅黑" w:hAnsi="微软雅黑" w:cs="宋体" w:hint="eastAsia"/>
          <w:color w:val="333333"/>
          <w:kern w:val="0"/>
          <w:sz w:val="14"/>
          <w:szCs w:val="14"/>
        </w:rPr>
        <w:t> </w:t>
      </w:r>
    </w:p>
    <w:p w:rsidR="0054794D" w:rsidRPr="0054794D" w:rsidRDefault="0054794D" w:rsidP="0054794D">
      <w:pPr>
        <w:widowControl/>
        <w:spacing w:before="100" w:beforeAutospacing="1" w:after="100" w:afterAutospacing="1" w:line="360" w:lineRule="auto"/>
        <w:ind w:firstLine="516"/>
        <w:jc w:val="righ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333333"/>
          <w:kern w:val="0"/>
          <w:sz w:val="25"/>
          <w:szCs w:val="25"/>
        </w:rPr>
        <w:t>人事处</w:t>
      </w:r>
    </w:p>
    <w:p w:rsidR="0054794D" w:rsidRPr="0054794D" w:rsidRDefault="0054794D" w:rsidP="0054794D">
      <w:pPr>
        <w:widowControl/>
        <w:spacing w:before="100" w:beforeAutospacing="1" w:after="100" w:afterAutospacing="1" w:line="360" w:lineRule="auto"/>
        <w:ind w:firstLine="516"/>
        <w:jc w:val="right"/>
        <w:rPr>
          <w:rFonts w:ascii="微软雅黑" w:eastAsia="微软雅黑" w:hAnsi="微软雅黑" w:cs="宋体" w:hint="eastAsia"/>
          <w:color w:val="333333"/>
          <w:kern w:val="0"/>
          <w:sz w:val="14"/>
          <w:szCs w:val="14"/>
        </w:rPr>
      </w:pPr>
      <w:r w:rsidRPr="0054794D">
        <w:rPr>
          <w:rFonts w:ascii="仿宋_GB2312" w:eastAsia="仿宋_GB2312" w:hAnsi="微软雅黑" w:cs="宋体" w:hint="eastAsia"/>
          <w:color w:val="333333"/>
          <w:kern w:val="0"/>
          <w:sz w:val="25"/>
          <w:szCs w:val="25"/>
        </w:rPr>
        <w:t>2016年5月10日</w:t>
      </w:r>
    </w:p>
    <w:p w:rsidR="0054794D" w:rsidRPr="0054794D" w:rsidRDefault="0054794D" w:rsidP="0054794D">
      <w:pPr>
        <w:widowControl/>
        <w:spacing w:before="100" w:beforeAutospacing="1" w:after="100" w:afterAutospacing="1"/>
        <w:jc w:val="left"/>
        <w:rPr>
          <w:rFonts w:ascii="微软雅黑" w:eastAsia="微软雅黑" w:hAnsi="微软雅黑" w:cs="宋体" w:hint="eastAsia"/>
          <w:color w:val="333333"/>
          <w:kern w:val="0"/>
          <w:sz w:val="14"/>
          <w:szCs w:val="14"/>
        </w:rPr>
      </w:pPr>
      <w:r w:rsidRPr="0054794D">
        <w:rPr>
          <w:rFonts w:ascii="微软雅黑" w:eastAsia="微软雅黑" w:hAnsi="微软雅黑" w:cs="宋体" w:hint="eastAsia"/>
          <w:color w:val="333333"/>
          <w:kern w:val="0"/>
          <w:sz w:val="14"/>
          <w:szCs w:val="14"/>
        </w:rPr>
        <w:t> </w:t>
      </w:r>
    </w:p>
    <w:p w:rsidR="0054794D" w:rsidRPr="0054794D" w:rsidRDefault="0054794D" w:rsidP="0054794D">
      <w:pPr>
        <w:widowControl/>
        <w:spacing w:line="360" w:lineRule="atLeast"/>
        <w:jc w:val="left"/>
        <w:rPr>
          <w:rFonts w:ascii="微软雅黑" w:eastAsia="微软雅黑" w:hAnsi="微软雅黑" w:cs="宋体" w:hint="eastAsia"/>
          <w:b/>
          <w:bCs/>
          <w:color w:val="333333"/>
          <w:kern w:val="0"/>
          <w:sz w:val="17"/>
          <w:szCs w:val="17"/>
        </w:rPr>
      </w:pPr>
      <w:r w:rsidRPr="0054794D">
        <w:rPr>
          <w:rFonts w:ascii="微软雅黑" w:eastAsia="微软雅黑" w:hAnsi="微软雅黑" w:cs="宋体" w:hint="eastAsia"/>
          <w:b/>
          <w:bCs/>
          <w:color w:val="333333"/>
          <w:kern w:val="0"/>
          <w:sz w:val="17"/>
          <w:szCs w:val="17"/>
        </w:rPr>
        <w:t>附件：</w:t>
      </w:r>
    </w:p>
    <w:p w:rsidR="0054794D" w:rsidRPr="0054794D" w:rsidRDefault="0054794D" w:rsidP="0054794D">
      <w:pPr>
        <w:widowControl/>
        <w:numPr>
          <w:ilvl w:val="0"/>
          <w:numId w:val="1"/>
        </w:numPr>
        <w:spacing w:before="100" w:beforeAutospacing="1" w:after="100" w:afterAutospacing="1" w:line="360" w:lineRule="atLeast"/>
        <w:jc w:val="left"/>
        <w:rPr>
          <w:rFonts w:ascii="微软雅黑" w:eastAsia="微软雅黑" w:hAnsi="微软雅黑" w:cs="宋体" w:hint="eastAsia"/>
          <w:color w:val="333333"/>
          <w:kern w:val="0"/>
          <w:sz w:val="14"/>
          <w:szCs w:val="14"/>
        </w:rPr>
      </w:pPr>
      <w:hyperlink r:id="rId6" w:history="1">
        <w:r w:rsidRPr="0054794D">
          <w:rPr>
            <w:rFonts w:ascii="微软雅黑" w:eastAsia="微软雅黑" w:hAnsi="微软雅黑" w:cs="宋体" w:hint="eastAsia"/>
            <w:color w:val="2052AB"/>
            <w:kern w:val="0"/>
            <w:sz w:val="17"/>
            <w:szCs w:val="17"/>
          </w:rPr>
          <w:t>2016年申报职称人员所在单位或部门表格</w:t>
        </w:r>
      </w:hyperlink>
      <w:r w:rsidRPr="0054794D">
        <w:rPr>
          <w:rFonts w:ascii="微软雅黑" w:eastAsia="微软雅黑" w:hAnsi="微软雅黑" w:cs="宋体" w:hint="eastAsia"/>
          <w:color w:val="333333"/>
          <w:kern w:val="0"/>
          <w:sz w:val="14"/>
          <w:szCs w:val="14"/>
        </w:rPr>
        <w:t xml:space="preserve"> </w:t>
      </w:r>
    </w:p>
    <w:p w:rsidR="0054794D" w:rsidRPr="0054794D" w:rsidRDefault="0054794D" w:rsidP="0054794D">
      <w:pPr>
        <w:widowControl/>
        <w:numPr>
          <w:ilvl w:val="0"/>
          <w:numId w:val="1"/>
        </w:numPr>
        <w:spacing w:before="100" w:beforeAutospacing="1" w:after="100" w:afterAutospacing="1" w:line="360" w:lineRule="atLeast"/>
        <w:jc w:val="left"/>
        <w:rPr>
          <w:rFonts w:ascii="微软雅黑" w:eastAsia="微软雅黑" w:hAnsi="微软雅黑" w:cs="宋体" w:hint="eastAsia"/>
          <w:color w:val="333333"/>
          <w:kern w:val="0"/>
          <w:sz w:val="14"/>
          <w:szCs w:val="14"/>
        </w:rPr>
      </w:pPr>
      <w:hyperlink r:id="rId7" w:history="1">
        <w:r w:rsidRPr="0054794D">
          <w:rPr>
            <w:rFonts w:ascii="微软雅黑" w:eastAsia="微软雅黑" w:hAnsi="微软雅黑" w:cs="宋体" w:hint="eastAsia"/>
            <w:color w:val="2052AB"/>
            <w:kern w:val="0"/>
            <w:sz w:val="17"/>
            <w:szCs w:val="17"/>
          </w:rPr>
          <w:t>2016年专业技术职务评聘相关材料报送要求</w:t>
        </w:r>
      </w:hyperlink>
      <w:r w:rsidRPr="0054794D">
        <w:rPr>
          <w:rFonts w:ascii="微软雅黑" w:eastAsia="微软雅黑" w:hAnsi="微软雅黑" w:cs="宋体" w:hint="eastAsia"/>
          <w:color w:val="333333"/>
          <w:kern w:val="0"/>
          <w:sz w:val="14"/>
          <w:szCs w:val="14"/>
        </w:rPr>
        <w:t xml:space="preserve"> </w:t>
      </w:r>
    </w:p>
    <w:p w:rsidR="00BA053C" w:rsidRPr="0054794D" w:rsidRDefault="0054794D"/>
    <w:sectPr w:rsidR="00BA053C" w:rsidRPr="0054794D" w:rsidSect="00246A9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44100"/>
    <w:multiLevelType w:val="multilevel"/>
    <w:tmpl w:val="43A6B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AE654B8"/>
    <w:multiLevelType w:val="multilevel"/>
    <w:tmpl w:val="BA5AC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4794D"/>
    <w:rsid w:val="00246A96"/>
    <w:rsid w:val="0054794D"/>
    <w:rsid w:val="006E78F2"/>
    <w:rsid w:val="00CC7A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A96"/>
    <w:pPr>
      <w:widowControl w:val="0"/>
      <w:jc w:val="both"/>
    </w:pPr>
  </w:style>
  <w:style w:type="paragraph" w:styleId="3">
    <w:name w:val="heading 3"/>
    <w:basedOn w:val="a"/>
    <w:link w:val="3Char"/>
    <w:uiPriority w:val="9"/>
    <w:qFormat/>
    <w:rsid w:val="0054794D"/>
    <w:pPr>
      <w:widowControl/>
      <w:spacing w:before="100" w:beforeAutospacing="1" w:after="100" w:afterAutospacing="1"/>
      <w:jc w:val="left"/>
      <w:outlineLvl w:val="2"/>
    </w:pPr>
    <w:rPr>
      <w:rFonts w:ascii="微软雅黑" w:eastAsia="微软雅黑" w:hAnsi="微软雅黑"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54794D"/>
    <w:rPr>
      <w:rFonts w:ascii="微软雅黑" w:eastAsia="微软雅黑" w:hAnsi="微软雅黑" w:cs="宋体"/>
      <w:kern w:val="0"/>
      <w:sz w:val="24"/>
      <w:szCs w:val="24"/>
    </w:rPr>
  </w:style>
  <w:style w:type="character" w:styleId="a3">
    <w:name w:val="Hyperlink"/>
    <w:basedOn w:val="a0"/>
    <w:uiPriority w:val="99"/>
    <w:semiHidden/>
    <w:unhideWhenUsed/>
    <w:rsid w:val="0054794D"/>
    <w:rPr>
      <w:rFonts w:ascii="微软雅黑" w:eastAsia="微软雅黑" w:hAnsi="微软雅黑" w:hint="eastAsia"/>
      <w:strike w:val="0"/>
      <w:dstrike w:val="0"/>
      <w:color w:val="333333"/>
      <w:sz w:val="14"/>
      <w:szCs w:val="14"/>
      <w:u w:val="none"/>
      <w:effect w:val="none"/>
    </w:rPr>
  </w:style>
  <w:style w:type="paragraph" w:styleId="a4">
    <w:name w:val="Normal (Web)"/>
    <w:basedOn w:val="a"/>
    <w:uiPriority w:val="99"/>
    <w:semiHidden/>
    <w:unhideWhenUsed/>
    <w:rsid w:val="0054794D"/>
    <w:pPr>
      <w:widowControl/>
      <w:spacing w:before="100" w:beforeAutospacing="1" w:after="100" w:afterAutospacing="1"/>
      <w:jc w:val="left"/>
    </w:pPr>
    <w:rPr>
      <w:rFonts w:ascii="宋体" w:eastAsia="宋体" w:hAnsi="宋体" w:cs="宋体"/>
      <w:kern w:val="0"/>
      <w:sz w:val="24"/>
      <w:szCs w:val="24"/>
    </w:rPr>
  </w:style>
  <w:style w:type="character" w:customStyle="1" w:styleId="infotitle">
    <w:name w:val="info_title"/>
    <w:basedOn w:val="a0"/>
    <w:rsid w:val="0054794D"/>
    <w:rPr>
      <w:rFonts w:ascii="微软雅黑" w:eastAsia="微软雅黑" w:hAnsi="微软雅黑" w:hint="eastAsia"/>
      <w:color w:val="333333"/>
      <w:sz w:val="14"/>
      <w:szCs w:val="14"/>
    </w:rPr>
  </w:style>
  <w:style w:type="character" w:styleId="a5">
    <w:name w:val="Strong"/>
    <w:basedOn w:val="a0"/>
    <w:uiPriority w:val="22"/>
    <w:qFormat/>
    <w:rsid w:val="0054794D"/>
    <w:rPr>
      <w:b/>
      <w:bCs/>
    </w:rPr>
  </w:style>
  <w:style w:type="character" w:customStyle="1" w:styleId="pagebotton">
    <w:name w:val="page_botton"/>
    <w:basedOn w:val="a0"/>
    <w:rsid w:val="0054794D"/>
    <w:rPr>
      <w:rFonts w:ascii="微软雅黑" w:eastAsia="微软雅黑" w:hAnsi="微软雅黑" w:hint="eastAsia"/>
      <w:color w:val="333333"/>
      <w:sz w:val="14"/>
      <w:szCs w:val="14"/>
    </w:rPr>
  </w:style>
</w:styles>
</file>

<file path=word/webSettings.xml><?xml version="1.0" encoding="utf-8"?>
<w:webSettings xmlns:r="http://schemas.openxmlformats.org/officeDocument/2006/relationships" xmlns:w="http://schemas.openxmlformats.org/wordprocessingml/2006/main">
  <w:divs>
    <w:div w:id="1570923062">
      <w:bodyDiv w:val="1"/>
      <w:marLeft w:val="0"/>
      <w:marRight w:val="0"/>
      <w:marTop w:val="0"/>
      <w:marBottom w:val="0"/>
      <w:divBdr>
        <w:top w:val="none" w:sz="0" w:space="0" w:color="auto"/>
        <w:left w:val="none" w:sz="0" w:space="0" w:color="auto"/>
        <w:bottom w:val="none" w:sz="0" w:space="0" w:color="auto"/>
        <w:right w:val="none" w:sz="0" w:space="0" w:color="auto"/>
      </w:divBdr>
      <w:divsChild>
        <w:div w:id="801462778">
          <w:marLeft w:val="0"/>
          <w:marRight w:val="0"/>
          <w:marTop w:val="120"/>
          <w:marBottom w:val="120"/>
          <w:divBdr>
            <w:top w:val="none" w:sz="0" w:space="0" w:color="auto"/>
            <w:left w:val="none" w:sz="0" w:space="0" w:color="auto"/>
            <w:bottom w:val="none" w:sz="0" w:space="0" w:color="auto"/>
            <w:right w:val="none" w:sz="0" w:space="0" w:color="auto"/>
          </w:divBdr>
          <w:divsChild>
            <w:div w:id="12852190">
              <w:marLeft w:val="0"/>
              <w:marRight w:val="0"/>
              <w:marTop w:val="120"/>
              <w:marBottom w:val="0"/>
              <w:divBdr>
                <w:top w:val="none" w:sz="0" w:space="0" w:color="auto"/>
                <w:left w:val="none" w:sz="0" w:space="0" w:color="auto"/>
                <w:bottom w:val="none" w:sz="0" w:space="0" w:color="auto"/>
                <w:right w:val="none" w:sz="0" w:space="0" w:color="auto"/>
              </w:divBdr>
              <w:divsChild>
                <w:div w:id="1987124109">
                  <w:marLeft w:val="0"/>
                  <w:marRight w:val="0"/>
                  <w:marTop w:val="0"/>
                  <w:marBottom w:val="0"/>
                  <w:divBdr>
                    <w:top w:val="none" w:sz="0" w:space="0" w:color="auto"/>
                    <w:left w:val="none" w:sz="0" w:space="0" w:color="auto"/>
                    <w:bottom w:val="none" w:sz="0" w:space="0" w:color="auto"/>
                    <w:right w:val="none" w:sz="0" w:space="0" w:color="auto"/>
                  </w:divBdr>
                  <w:divsChild>
                    <w:div w:id="1385107737">
                      <w:marLeft w:val="0"/>
                      <w:marRight w:val="0"/>
                      <w:marTop w:val="0"/>
                      <w:marBottom w:val="0"/>
                      <w:divBdr>
                        <w:top w:val="none" w:sz="0" w:space="0" w:color="auto"/>
                        <w:left w:val="none" w:sz="0" w:space="0" w:color="auto"/>
                        <w:bottom w:val="none" w:sz="0" w:space="0" w:color="auto"/>
                        <w:right w:val="none" w:sz="0" w:space="0" w:color="auto"/>
                      </w:divBdr>
                      <w:divsChild>
                        <w:div w:id="755178091">
                          <w:marLeft w:val="0"/>
                          <w:marRight w:val="0"/>
                          <w:marTop w:val="0"/>
                          <w:marBottom w:val="0"/>
                          <w:divBdr>
                            <w:top w:val="none" w:sz="0" w:space="0" w:color="auto"/>
                            <w:left w:val="none" w:sz="0" w:space="0" w:color="auto"/>
                            <w:bottom w:val="none" w:sz="0" w:space="0" w:color="auto"/>
                            <w:right w:val="none" w:sz="0" w:space="0" w:color="auto"/>
                          </w:divBdr>
                        </w:div>
                        <w:div w:id="1788045198">
                          <w:marLeft w:val="0"/>
                          <w:marRight w:val="0"/>
                          <w:marTop w:val="0"/>
                          <w:marBottom w:val="0"/>
                          <w:divBdr>
                            <w:top w:val="none" w:sz="0" w:space="0" w:color="auto"/>
                            <w:left w:val="none" w:sz="0" w:space="0" w:color="auto"/>
                            <w:bottom w:val="none" w:sz="0" w:space="0" w:color="auto"/>
                            <w:right w:val="none" w:sz="0" w:space="0" w:color="auto"/>
                          </w:divBdr>
                          <w:divsChild>
                            <w:div w:id="2011444133">
                              <w:marLeft w:val="0"/>
                              <w:marRight w:val="0"/>
                              <w:marTop w:val="0"/>
                              <w:marBottom w:val="0"/>
                              <w:divBdr>
                                <w:top w:val="none" w:sz="0" w:space="0" w:color="auto"/>
                                <w:left w:val="none" w:sz="0" w:space="0" w:color="auto"/>
                                <w:bottom w:val="none" w:sz="0" w:space="0" w:color="auto"/>
                                <w:right w:val="none" w:sz="0" w:space="0" w:color="auto"/>
                              </w:divBdr>
                            </w:div>
                            <w:div w:id="533007869">
                              <w:marLeft w:val="0"/>
                              <w:marRight w:val="0"/>
                              <w:marTop w:val="0"/>
                              <w:marBottom w:val="0"/>
                              <w:divBdr>
                                <w:top w:val="none" w:sz="0" w:space="0" w:color="auto"/>
                                <w:left w:val="none" w:sz="0" w:space="0" w:color="auto"/>
                                <w:bottom w:val="none" w:sz="0" w:space="0" w:color="auto"/>
                                <w:right w:val="none" w:sz="0" w:space="0" w:color="auto"/>
                              </w:divBdr>
                              <w:divsChild>
                                <w:div w:id="1482768969">
                                  <w:marLeft w:val="0"/>
                                  <w:marRight w:val="0"/>
                                  <w:marTop w:val="0"/>
                                  <w:marBottom w:val="0"/>
                                  <w:divBdr>
                                    <w:top w:val="none" w:sz="0" w:space="0" w:color="auto"/>
                                    <w:left w:val="none" w:sz="0" w:space="0" w:color="auto"/>
                                    <w:bottom w:val="none" w:sz="0" w:space="0" w:color="auto"/>
                                    <w:right w:val="none" w:sz="0" w:space="0" w:color="auto"/>
                                  </w:divBdr>
                                </w:div>
                              </w:divsChild>
                            </w:div>
                            <w:div w:id="313220399">
                              <w:marLeft w:val="240"/>
                              <w:marRight w:val="0"/>
                              <w:marTop w:val="60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rsrcw.njau.edu.cn/attach/download/2016/05/10/78450.d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rsrcw.njau.edu.cn/attach/download/2016/05/10/78449.zip"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4D814-E2ED-493A-85E5-7651C87A1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431</Words>
  <Characters>2461</Characters>
  <Application>Microsoft Office Word</Application>
  <DocSecurity>0</DocSecurity>
  <Lines>20</Lines>
  <Paragraphs>5</Paragraphs>
  <ScaleCrop>false</ScaleCrop>
  <Company/>
  <LinksUpToDate>false</LinksUpToDate>
  <CharactersWithSpaces>2887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2016-05-11T01:27:00Z</dcterms:created>
  <dcterms:modified xsi:type="dcterms:W3CDTF">2016-05-11T01:31:00Z</dcterms:modified>
</cp:coreProperties>
</file>